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tif" ContentType="image/tif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59055</wp:posOffset>
            </wp:positionH>
            <wp:positionV relativeFrom="paragraph">
              <wp:posOffset>11430</wp:posOffset>
            </wp:positionV>
            <wp:extent cx="3505200" cy="1258570"/>
            <wp:effectExtent l="0" t="0" r="0" b="0"/>
            <wp:wrapSquare wrapText="largest"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UMOWA</w:t>
      </w:r>
      <w:r>
        <w:rPr>
          <w:rFonts w:ascii="Arial" w:hAnsi="Arial"/>
          <w:b/>
          <w:color w:val="auto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 wykonanie prac badawczych 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/>
          <w:b/>
          <w:color w:val="auto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Nr  PB ……./2022</w:t>
      </w:r>
    </w:p>
    <w:p>
      <w:pPr>
        <w:pStyle w:val="Normal"/>
        <w:jc w:val="center"/>
        <w:rPr>
          <w:rFonts w:ascii="Arial" w:hAnsi="Arial"/>
          <w:b/>
          <w:b/>
          <w:color w:val="auto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zawarta ………….. 2022 w </w:t>
      </w:r>
      <w:sdt>
        <w:sdtPr>
          <w:id w:val="1595126324"/>
        </w:sdtPr>
        <w:sdtContent>
          <w:r>
            <w:rPr/>
            <w:t>Warszawie</w:t>
          </w:r>
        </w:sdtContent>
      </w:sdt>
      <w:r>
        <w:rPr>
          <w:rFonts w:ascii="Arial" w:hAnsi="Arial"/>
          <w:color w:val="auto"/>
          <w:sz w:val="20"/>
          <w:szCs w:val="20"/>
        </w:rPr>
        <w:t xml:space="preserve"> pomiędzy: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………………</w:t>
      </w:r>
      <w:r>
        <w:rPr>
          <w:rFonts w:ascii="Arial" w:hAnsi="Arial"/>
          <w:b/>
          <w:color w:val="auto"/>
          <w:sz w:val="20"/>
          <w:szCs w:val="20"/>
        </w:rPr>
        <w:t xml:space="preserve">.…………………………………… </w:t>
      </w:r>
      <w:r>
        <w:rPr>
          <w:rFonts w:ascii="Arial" w:hAnsi="Arial"/>
          <w:color w:val="auto"/>
          <w:sz w:val="20"/>
          <w:szCs w:val="20"/>
        </w:rPr>
        <w:t xml:space="preserve">z siedzibą w …………………………………………………..……....., </w:t>
        <w:br/>
        <w:t xml:space="preserve">nr NIP </w:t>
      </w:r>
      <w:sdt>
        <w:sdtPr>
          <w:id w:val="1665416512"/>
        </w:sdtPr>
        <w:sdtContent>
          <w:r>
            <w:rPr/>
            <w:t>…………………..</w:t>
          </w:r>
        </w:sdtContent>
      </w:sdt>
      <w:r>
        <w:rPr>
          <w:rFonts w:ascii="Arial" w:hAnsi="Arial"/>
          <w:color w:val="auto"/>
          <w:sz w:val="20"/>
          <w:szCs w:val="20"/>
        </w:rPr>
        <w:t xml:space="preserve">, </w:t>
      </w:r>
      <w:r>
        <w:rPr>
          <w:rFonts w:ascii="Arial" w:hAnsi="Arial"/>
          <w:color w:val="auto"/>
          <w:sz w:val="20"/>
          <w:szCs w:val="20"/>
        </w:rPr>
        <w:t xml:space="preserve"> zwanym dalej „</w:t>
      </w:r>
      <w:r>
        <w:rPr>
          <w:rFonts w:ascii="Arial" w:hAnsi="Arial"/>
          <w:b/>
          <w:color w:val="auto"/>
          <w:sz w:val="20"/>
          <w:szCs w:val="20"/>
        </w:rPr>
        <w:t>Zamawiającym</w:t>
      </w:r>
      <w:r>
        <w:rPr>
          <w:rFonts w:ascii="Arial" w:hAnsi="Arial"/>
          <w:color w:val="auto"/>
          <w:sz w:val="20"/>
          <w:szCs w:val="20"/>
        </w:rPr>
        <w:t xml:space="preserve">”, </w:t>
        <w:br/>
        <w:t>reprezentowanym przez: …………………………….………………………..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a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>InnoTech4Life Sp. z o.o.</w:t>
      </w:r>
      <w:r>
        <w:rPr>
          <w:rFonts w:ascii="Arial" w:hAnsi="Arial"/>
          <w:color w:val="auto"/>
          <w:sz w:val="20"/>
          <w:szCs w:val="20"/>
        </w:rPr>
        <w:t xml:space="preserve"> (Spółką Celową SGGW) z siedzibą w Warszawie, ul. Nowoursynowska 166 bud. 8/119, 02-787 Warszawa, NIP: 951-252-20-02, KRS: 0000906024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reprezentowaną przez p.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Judytę Sobczyk</w:t>
      </w:r>
      <w:r>
        <w:rPr>
          <w:rFonts w:ascii="Arial" w:hAnsi="Arial"/>
          <w:color w:val="auto"/>
          <w:sz w:val="20"/>
          <w:szCs w:val="20"/>
        </w:rPr>
        <w:t xml:space="preserve"> – P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rokurenta</w:t>
      </w:r>
      <w:r>
        <w:rPr>
          <w:rFonts w:ascii="Arial" w:hAnsi="Arial"/>
          <w:color w:val="auto"/>
          <w:sz w:val="20"/>
          <w:szCs w:val="20"/>
        </w:rPr>
        <w:t>,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zwaną dalej „</w:t>
      </w:r>
      <w:r>
        <w:rPr>
          <w:rFonts w:ascii="Arial" w:hAnsi="Arial"/>
          <w:b/>
          <w:bCs/>
          <w:color w:val="auto"/>
          <w:sz w:val="20"/>
          <w:szCs w:val="20"/>
        </w:rPr>
        <w:t>InnoTech4Life</w:t>
      </w:r>
      <w:r>
        <w:rPr>
          <w:rFonts w:ascii="Arial" w:hAnsi="Arial"/>
          <w:color w:val="auto"/>
          <w:sz w:val="20"/>
          <w:szCs w:val="20"/>
        </w:rPr>
        <w:t>” lub „</w:t>
      </w:r>
      <w:r>
        <w:rPr>
          <w:rFonts w:ascii="Arial" w:hAnsi="Arial"/>
          <w:b/>
          <w:bCs/>
          <w:color w:val="auto"/>
          <w:sz w:val="20"/>
          <w:szCs w:val="20"/>
        </w:rPr>
        <w:t>Wykonawcą</w:t>
      </w:r>
      <w:r>
        <w:rPr>
          <w:rFonts w:ascii="Arial" w:hAnsi="Arial"/>
          <w:color w:val="auto"/>
          <w:sz w:val="20"/>
          <w:szCs w:val="20"/>
        </w:rPr>
        <w:t>”,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łącznie zwanymi dalej „</w:t>
      </w:r>
      <w:r>
        <w:rPr>
          <w:rFonts w:ascii="Arial" w:hAnsi="Arial"/>
          <w:b/>
          <w:color w:val="auto"/>
          <w:sz w:val="20"/>
          <w:szCs w:val="20"/>
        </w:rPr>
        <w:t>Stronami</w:t>
      </w:r>
      <w:r>
        <w:rPr>
          <w:rFonts w:ascii="Arial" w:hAnsi="Arial"/>
          <w:color w:val="auto"/>
          <w:sz w:val="20"/>
          <w:szCs w:val="20"/>
        </w:rPr>
        <w:t>”, pojedynczo zaś „</w:t>
      </w:r>
      <w:r>
        <w:rPr>
          <w:rFonts w:ascii="Arial" w:hAnsi="Arial"/>
          <w:b/>
          <w:color w:val="auto"/>
          <w:sz w:val="20"/>
          <w:szCs w:val="20"/>
        </w:rPr>
        <w:t>Stroną</w:t>
      </w:r>
      <w:r>
        <w:rPr>
          <w:rFonts w:ascii="Arial" w:hAnsi="Arial"/>
          <w:color w:val="auto"/>
          <w:sz w:val="20"/>
          <w:szCs w:val="20"/>
        </w:rPr>
        <w:t>”.</w:t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Definicje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Wskazane poniżej określenia, pisane w niniejszej umowie z wielkiej litery mają następujące znaczenie: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before="0" w:after="0"/>
        <w:ind w:left="397" w:right="0" w:hanging="397"/>
        <w:contextualSpacing/>
        <w:jc w:val="both"/>
        <w:rPr/>
      </w:pPr>
      <w:r>
        <w:rPr>
          <w:rFonts w:ascii="Arial" w:hAnsi="Arial"/>
          <w:b/>
          <w:color w:val="auto"/>
          <w:sz w:val="20"/>
          <w:szCs w:val="20"/>
        </w:rPr>
        <w:t>Badanie</w:t>
      </w:r>
      <w:r>
        <w:rPr>
          <w:rFonts w:ascii="Arial" w:hAnsi="Arial"/>
          <w:color w:val="auto"/>
          <w:sz w:val="20"/>
          <w:szCs w:val="20"/>
        </w:rPr>
        <w:t xml:space="preserve"> – oznacza ogół czynności Wykonawcy mający na celu wykonanie eksperymentów lub analizę danych lub przygotowanie ekspertyzy bądź opracowania teoretycznego lub inne działania które są zawarte w przedmiocie Umowy oraz w harmonogramie badań, stanowiącym załącznik nr 1 do Umowy.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before="0" w:after="0"/>
        <w:ind w:left="397" w:right="0" w:hanging="397"/>
        <w:contextualSpacing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/>
          <w:color w:val="auto"/>
          <w:kern w:val="0"/>
          <w:sz w:val="20"/>
          <w:szCs w:val="20"/>
          <w:lang w:val="pl-PL" w:eastAsia="pl-PL" w:bidi="ar-SA"/>
        </w:rPr>
        <w:t>Tajemnica Przedsiębiorstwa</w:t>
      </w:r>
      <w:r>
        <w:rPr>
          <w:rFonts w:ascii="Arial" w:hAnsi="Arial"/>
          <w:b/>
          <w:color w:val="auto"/>
          <w:sz w:val="20"/>
          <w:szCs w:val="20"/>
        </w:rPr>
        <w:t xml:space="preserve"> </w:t>
      </w:r>
      <w:r>
        <w:rPr>
          <w:rFonts w:ascii="Arial" w:hAnsi="Arial"/>
          <w:color w:val="auto"/>
          <w:sz w:val="20"/>
          <w:szCs w:val="20"/>
        </w:rPr>
        <w:t>– wszelkie informacje dotyczące Zamawiającego, jego działalności, w tym Produktu i technologii jego wytwarzania, która nie jest powszechnie dostępna, jak również przebieg i rezultaty przeprowadzonego Badania, a także oznaczenia jako Tajemnicy Przedsiębiorstwa lub oznaczeniem podobnym. W przypadku wątpliwości czy dana informacja jest Tajemnicą Przedsiębiorstwa, Strony będą postępowały z nią jak z Tajemnicą Przedsiębiorstwa.</w:t>
      </w:r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before="0" w:after="0"/>
        <w:ind w:left="397" w:right="0" w:hanging="397"/>
        <w:contextualSpacing/>
        <w:jc w:val="both"/>
        <w:rPr>
          <w:rFonts w:ascii="Arial" w:hAnsi="Arial"/>
        </w:rPr>
      </w:pPr>
      <w:r>
        <w:rPr>
          <w:rFonts w:ascii="Arial" w:hAnsi="Arial"/>
          <w:b/>
          <w:color w:val="auto"/>
          <w:sz w:val="20"/>
          <w:szCs w:val="20"/>
        </w:rPr>
        <w:t xml:space="preserve">Produkt </w:t>
      </w:r>
      <w:r>
        <w:rPr>
          <w:rFonts w:ascii="Arial" w:hAnsi="Arial"/>
          <w:color w:val="auto"/>
          <w:sz w:val="20"/>
          <w:szCs w:val="20"/>
        </w:rPr>
        <w:t xml:space="preserve">– </w:t>
      </w:r>
      <w:sdt>
        <w:sdtPr>
          <w:id w:val="213575106"/>
        </w:sdtPr>
        <w:sdtContent>
          <w:r>
            <w:rPr>
              <w:rFonts w:ascii="Arial" w:hAnsi="Arial"/>
            </w:rPr>
            <w:t>Sprawozdanie/wyrób/obiekt/dane/próbka*, będące przedmiotem badań - * niepotrzebne skreślić.</w:t>
          </w:r>
        </w:sdtContent>
      </w:sdt>
    </w:p>
    <w:p>
      <w:pPr>
        <w:pStyle w:val="ListParagraph"/>
        <w:widowControl/>
        <w:numPr>
          <w:ilvl w:val="0"/>
          <w:numId w:val="3"/>
        </w:numPr>
        <w:suppressAutoHyphens w:val="true"/>
        <w:bidi w:val="0"/>
        <w:spacing w:before="0" w:after="0"/>
        <w:ind w:left="397" w:right="0" w:hanging="397"/>
        <w:contextualSpacing/>
        <w:jc w:val="both"/>
        <w:rPr>
          <w:rFonts w:ascii="Arial" w:hAnsi="Arial"/>
        </w:rPr>
      </w:pPr>
      <w:r>
        <w:rPr>
          <w:rFonts w:ascii="Arial" w:hAnsi="Arial"/>
          <w:b/>
          <w:color w:val="auto"/>
          <w:sz w:val="20"/>
          <w:szCs w:val="20"/>
        </w:rPr>
        <w:t>Umowa</w:t>
      </w:r>
      <w:r>
        <w:rPr>
          <w:rFonts w:ascii="Arial" w:hAnsi="Arial"/>
          <w:color w:val="auto"/>
          <w:sz w:val="20"/>
          <w:szCs w:val="20"/>
        </w:rPr>
        <w:t xml:space="preserve"> – należy przez to rozumieć niniejszą umowę.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1.</w:t>
      </w:r>
    </w:p>
    <w:p>
      <w:pPr>
        <w:pStyle w:val="Normal"/>
        <w:spacing w:before="0"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Przedmiot Umowy</w:t>
      </w:r>
    </w:p>
    <w:p>
      <w:pPr>
        <w:pStyle w:val="Normal"/>
        <w:widowControl/>
        <w:numPr>
          <w:ilvl w:val="0"/>
          <w:numId w:val="23"/>
        </w:numPr>
        <w:suppressAutoHyphens w:val="true"/>
        <w:bidi w:val="0"/>
        <w:spacing w:before="0" w:after="0"/>
        <w:ind w:left="454" w:right="0" w:hanging="4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color w:val="auto"/>
          <w:sz w:val="20"/>
          <w:szCs w:val="20"/>
        </w:rPr>
        <w:t>Przedmiotem umowy jest wykonanie Badania przez Wykonawcę, na każdorazowe zlecenie Zamawiającego,  zgodnie z każdorazową specyfikacją konkretnego zindywidualizowanego zamówienia, przekazywanego przez Zamawiającego do Wykonawcy pisemnie lub na adres poczty elektronicznej przeznaczony dla doręczeń.</w:t>
      </w:r>
    </w:p>
    <w:p>
      <w:pPr>
        <w:pStyle w:val="Normal"/>
        <w:widowControl/>
        <w:suppressAutoHyphens w:val="true"/>
        <w:bidi w:val="0"/>
        <w:spacing w:before="0" w:after="0"/>
        <w:ind w:left="454" w:right="0" w:hanging="4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color w:val="auto"/>
          <w:sz w:val="20"/>
          <w:szCs w:val="20"/>
        </w:rPr>
        <w:t xml:space="preserve">2. </w:t>
        <w:tab/>
        <w:t xml:space="preserve">Konkretne zamówienie na Badanie może zawierać ponadto dodatkowe postanowienie wymagane przez właściwe przepisy prawa, czy postanowienia umów zawartych przez Zamawiającego związanych z zamówieniami publicznymi. </w:t>
      </w:r>
    </w:p>
    <w:p>
      <w:pPr>
        <w:pStyle w:val="Normal"/>
        <w:ind w:left="3545" w:firstLine="709"/>
        <w:rPr>
          <w:rFonts w:ascii="Arial" w:hAnsi="Arial"/>
          <w:b/>
          <w:b/>
          <w:color w:val="auto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2.</w:t>
      </w:r>
    </w:p>
    <w:p>
      <w:pPr>
        <w:pStyle w:val="Normal"/>
        <w:spacing w:before="0" w:after="6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Terminy realizacji Przedmiotu Umowy</w:t>
      </w:r>
    </w:p>
    <w:p>
      <w:pPr>
        <w:pStyle w:val="ListParagraph"/>
        <w:numPr>
          <w:ilvl w:val="0"/>
          <w:numId w:val="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Umowa zostaje zawarta na okres od ……………….  do ……………….</w:t>
      </w:r>
    </w:p>
    <w:p>
      <w:pPr>
        <w:pStyle w:val="ListParagraph"/>
        <w:numPr>
          <w:ilvl w:val="0"/>
          <w:numId w:val="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Termin rozpoczęcia pojedynczego Badania oraz termin jego zakończenia będzie  określony w każdorazowym indywidualnym zleceniu od Zamawiającego inicjującym rozpoczęcie danego Badania, pod warunkiem dostarczenia przez Zamawiającego Produktu do Badania nie później niż w dniu wskazanym jako termin rozpoczęcia Badania.</w:t>
      </w:r>
    </w:p>
    <w:p>
      <w:pPr>
        <w:pStyle w:val="ListParagraph"/>
        <w:numPr>
          <w:ilvl w:val="0"/>
          <w:numId w:val="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 razie niewywiązania się przez Zamawiającego z warunku, o którym mowa w ust. 2 termin zakończenia Badania zostanie odpowiednio przesunięty. Ewentualne przedłużenie terminu wykonania Badania, niewynikające z decyzji Zamawiającego, nie ma wpływu na wynagrodzenie Wykonawcy, o którym mowa w § 6 ust. 1.</w:t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3.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Obowiązki Stron</w:t>
      </w:r>
    </w:p>
    <w:p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Zamawiający zobowiązuje się:</w:t>
      </w:r>
    </w:p>
    <w:p>
      <w:pPr>
        <w:pStyle w:val="ListParagraph"/>
        <w:numPr>
          <w:ilvl w:val="1"/>
          <w:numId w:val="11"/>
        </w:numPr>
        <w:ind w:left="709" w:hanging="283"/>
        <w:jc w:val="both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dostarczyć wszelkie niezbędne informacje, materiały i ………………………………... do Badania;</w:t>
      </w:r>
    </w:p>
    <w:p>
      <w:pPr>
        <w:pStyle w:val="ListParagraph"/>
        <w:numPr>
          <w:ilvl w:val="1"/>
          <w:numId w:val="11"/>
        </w:numPr>
        <w:ind w:left="709" w:hanging="283"/>
        <w:jc w:val="both"/>
        <w:rPr>
          <w:color w:val="auto"/>
        </w:rPr>
      </w:pPr>
      <w:r>
        <w:rPr>
          <w:rFonts w:ascii="Arial" w:hAnsi="Arial"/>
          <w:color w:val="auto"/>
          <w:sz w:val="20"/>
          <w:szCs w:val="20"/>
        </w:rPr>
        <w:t>bezpłatnie przekazać tą część materiałów, która będzie podlegała zniszczeniu w trakcie Badania;</w:t>
      </w:r>
    </w:p>
    <w:p>
      <w:pPr>
        <w:pStyle w:val="ListParagraph"/>
        <w:numPr>
          <w:ilvl w:val="1"/>
          <w:numId w:val="11"/>
        </w:numPr>
        <w:ind w:left="709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współpracować z Wykonawcą w ramach wykonywania Badania przez udzielanie odpowiedzi na pytania i przekazywanie niezbędnych dokumentów, próbek i materiałów dotyczących Produktu do Badań.</w:t>
      </w:r>
    </w:p>
    <w:p>
      <w:pPr>
        <w:pStyle w:val="ListParagraph"/>
        <w:pageBreakBefore w:val="false"/>
        <w:numPr>
          <w:ilvl w:val="0"/>
          <w:numId w:val="1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Wykonawca zobowiązuje się do:</w:t>
      </w:r>
    </w:p>
    <w:p>
      <w:pPr>
        <w:pStyle w:val="ListParagraph"/>
        <w:numPr>
          <w:ilvl w:val="1"/>
          <w:numId w:val="1"/>
        </w:numPr>
        <w:ind w:left="709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przechowywania Produktu w sposób zapewniający jego poufność i ochronę praw i interesów Zamawiającego;</w:t>
      </w:r>
    </w:p>
    <w:p>
      <w:pPr>
        <w:pStyle w:val="ListParagraph"/>
        <w:numPr>
          <w:ilvl w:val="1"/>
          <w:numId w:val="1"/>
        </w:numPr>
        <w:ind w:left="709" w:hanging="283"/>
        <w:jc w:val="both"/>
        <w:rPr>
          <w:color w:val="auto"/>
        </w:rPr>
      </w:pP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zwrócenia</w:t>
      </w:r>
      <w:r>
        <w:rPr>
          <w:rFonts w:ascii="Arial" w:hAnsi="Arial"/>
          <w:color w:val="auto"/>
          <w:sz w:val="20"/>
          <w:szCs w:val="20"/>
        </w:rPr>
        <w:t xml:space="preserve"> Zamawiającemu tych części materiałów po Badaniach, które nie podlegały zniszczeniu w trakcie Badania, w stanie technicznym wynikającym ze zużycia związanego z przeprowadzonym Badaniem, chyba że Strony ustalą inne zasady w oddzielnej umowie;</w:t>
      </w:r>
    </w:p>
    <w:p>
      <w:pPr>
        <w:pStyle w:val="ListParagraph"/>
        <w:numPr>
          <w:ilvl w:val="1"/>
          <w:numId w:val="1"/>
        </w:numPr>
        <w:ind w:left="709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wykonania Badania z udziałem personelu o odpowiednich kwalifikacjach, przy wykorzystaniu własnego zaplecza technologicznego, przy uwzględnieniu profesjonalnego charakteru prowadzonej działalności oraz zgodnie z obowiązującymi w chwili wykonania Umowy przepisami prawa;</w:t>
      </w:r>
    </w:p>
    <w:p>
      <w:pPr>
        <w:pStyle w:val="ListParagraph"/>
        <w:numPr>
          <w:ilvl w:val="1"/>
          <w:numId w:val="1"/>
        </w:numPr>
        <w:ind w:left="709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zapewnienia, w ramach wynagrodzenia, o którym mowa w § 6 ust. 1, materiałów i wyposażenia pomiarowo-badawczego potrzebnego do prawidłowego przeprowadzenia Badania;</w:t>
      </w:r>
    </w:p>
    <w:p>
      <w:pPr>
        <w:pStyle w:val="ListParagraph"/>
        <w:numPr>
          <w:ilvl w:val="1"/>
          <w:numId w:val="1"/>
        </w:numPr>
        <w:ind w:left="709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informowania Zamawiającego na o postępie prac.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4.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Wykonanie Badania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Wykonawca zobowiązuje się do prowadzenia Badań zgodnie z Harmonogramem Badań, który stanowi Załącznik nr 1 do Umowy.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Przystąpienie przez Wykonawcę do Badania oraz odbiór Sprawozdania po Badaniach przez Zamawiającego jest potwierdzone protokołem zdawczo-odbiorczym stanowiącym załącznik nr 2 Umowy.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Jeżeli w toku wykonania Badania okaże się, że jego kontynuowanie jest z istotnych i uzasadnionych przyczyn niecelowe, albo wynik końcowy może być niezgodny z przyjętymi założeniami, Wykonawca jest obowiązany powiadomić o tym niezwłocznie Zamawiającego, który może podjąć decyzję o zaniechaniu Badania.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 przypadku, o którym mowa w ust. 3, Strony rozpatrzą celowość kontynuowania Badania w terminie 14 dni od daty powiadomienia Zamawiającego przez Wykonawcę, ustalając jednocześnie stopień jego zaawansowania.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 przypadku przerwania wykonywania Badania, Zamawiający jest zobowiązany pokryć koszty wykonanej części Badania według stanu jego zaawansowania oraz koszty wynikające z podjętych przez Wykonawcę zobowiązań wobec osób trzecich.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Stan zaawansowania Badania w chwili jego przerwania zostanie ustalony protokolarnie z udziałem Zamawiającego, zgodnie z Harmonogramem badań. O dacie sporządzenia protokołu Wykonawca zawiadomi pisemnie Zamawiającego co najmniej na 3 dni przed tym terminem.</w:t>
      </w:r>
    </w:p>
    <w:p>
      <w:pPr>
        <w:pStyle w:val="ListParagraph"/>
        <w:numPr>
          <w:ilvl w:val="0"/>
          <w:numId w:val="6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 razie niestawienia się przedstawiciela Zamawiającego w wyznaczonym w ustępie poprzedzającym terminie Wykonawca sporządzi komisyjnie jednostronny protokół, który będzie podstawą do rozliczeń kosztów wykonania Badania.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576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5.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Odbiór wyników Badania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Wykonawca jest obowiązany zawiadomić Zamawiającego pisemnie, w formie e-mailowej lub tradycyjną pocztą, o wykonaniu przedmiotu Umowy.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Wyniki Badania lub poszczególnych jego etapów zostaną przekazane Zamawiającemu w terminie do 7 dni od zawiadomienia, w formie Sprawozdania z Badania na wskazany przez Zamawiającego adres e-mail i/lub w formie wydruku komputerowego i/lub w formie pisemnej. 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Odbiór wyników Badania będzie potwierdzony protokołem zdawczo-odbiorczym. Wzór protokołu zdawczo-odbiorczego stanowi załącznik nr 2 do Umowy. 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Jeżeli Zamawiający nie odebrał wyników Badania w terminie, o którym mowa w ust. 2, Wykonawca ma prawo sporządzić komisyjnie jednostronny protokół odbioru, stanowiący podstawę rozliczeń.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Wykonawca nie odpowiada za przydatność wyników Badań w działalności gospodarczej Zamawiającego, jak również nie odpowiada za skutki decyzji podjętych w oparciu o nie.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Zamawiający zobowiązuje się powiadomić Wykonawcę o zastosowaniu wyników Badań we własnej działalności gospodarczej.</w:t>
      </w:r>
    </w:p>
    <w:p>
      <w:pPr>
        <w:pStyle w:val="ListParagraph"/>
        <w:numPr>
          <w:ilvl w:val="0"/>
          <w:numId w:val="7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Otrzymanie negatywnego wyniku Badania wykonywanego zgodnie z Umową nie zwalnia Zamawiającego od obowiązku zapłacenia wynagrodzenia ustalonego zgodnie z § 6 Umowy.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6.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Wynagrodzenie</w:t>
      </w:r>
    </w:p>
    <w:p>
      <w:pPr>
        <w:pStyle w:val="ListParagraph"/>
        <w:numPr>
          <w:ilvl w:val="2"/>
          <w:numId w:val="2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Strony ustalają, że wynagrodzenie należne Wykonawcy za wykonanie Przedmiotu Umowy wynikać będzie z liczby wykonanych Badań w trakcie trwania Umowy.</w:t>
      </w:r>
    </w:p>
    <w:p>
      <w:pPr>
        <w:pStyle w:val="ListParagraph"/>
        <w:numPr>
          <w:ilvl w:val="2"/>
          <w:numId w:val="2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Wynagrodzenie określone w ust. 1 zostanie wypłacone przez Zamawiającego na podstawie faktury VAT wystawionej przez Wykonawcę zgodnie z postanowieniami § 9 Umowy.</w:t>
      </w:r>
    </w:p>
    <w:p>
      <w:pPr>
        <w:pStyle w:val="ListParagraph"/>
        <w:ind w:left="426" w:hanging="0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7.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Warunki wykonania Umowy</w:t>
      </w:r>
    </w:p>
    <w:p>
      <w:pPr>
        <w:pStyle w:val="ListParagraph"/>
        <w:widowControl w:val="false"/>
        <w:numPr>
          <w:ilvl w:val="0"/>
          <w:numId w:val="13"/>
        </w:numPr>
        <w:spacing w:before="0" w:after="16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Przedmiot Umowy będzie wykonywany przez Wykonawcę w ramach świadczenia usług badawczych.</w:t>
      </w:r>
    </w:p>
    <w:p>
      <w:pPr>
        <w:pStyle w:val="ListParagraph"/>
        <w:widowControl w:val="false"/>
        <w:numPr>
          <w:ilvl w:val="0"/>
          <w:numId w:val="13"/>
        </w:numPr>
        <w:spacing w:before="0" w:after="160"/>
        <w:ind w:left="480" w:right="-2" w:hanging="48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Kierownictwo i nadzór nad wykonaniem Przedmiotu Umowy ze strony Wykonawcy</w:t>
      </w:r>
      <w:r>
        <w:rPr>
          <w:rFonts w:ascii="Arial" w:hAnsi="Arial"/>
          <w:b/>
          <w:color w:val="auto"/>
          <w:sz w:val="20"/>
          <w:szCs w:val="20"/>
        </w:rPr>
        <w:t xml:space="preserve"> </w:t>
      </w:r>
      <w:r>
        <w:rPr>
          <w:rFonts w:ascii="Arial" w:hAnsi="Arial"/>
          <w:color w:val="auto"/>
          <w:sz w:val="20"/>
          <w:szCs w:val="20"/>
        </w:rPr>
        <w:t xml:space="preserve">przejmuje </w:t>
        <w:br/>
        <w:t>p. ………………………………….…...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8.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Prawa autorskie</w:t>
      </w:r>
    </w:p>
    <w:p>
      <w:pPr>
        <w:pStyle w:val="ListParagraph"/>
        <w:widowControl/>
        <w:numPr>
          <w:ilvl w:val="0"/>
          <w:numId w:val="17"/>
        </w:numPr>
        <w:suppressAutoHyphens w:val="true"/>
        <w:bidi w:val="0"/>
        <w:spacing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iCs/>
          <w:color w:val="auto"/>
          <w:sz w:val="20"/>
          <w:szCs w:val="20"/>
        </w:rPr>
        <w:t xml:space="preserve">Celem usunięcia wątpliwości Strony oświadczają, iż w ramach zawarcia niniejszej Umowy Wykonawca nie przenosi na Zamawiającego żadnych praw do jakichkolwiek praw własności intelektualnej powstałych w ramach wykonania Badania, w tym w szczególności autorskich praw majątkowych, pokrewnych lub zależnych oraz praw własności przemysłowej, a Zamawiający nie nabywa w ramach zapłaty wynagrodzenia ustalonego zgodnie z postanowieniami Umowy, tych praw w żadnym zakresie. </w:t>
      </w:r>
    </w:p>
    <w:p>
      <w:pPr>
        <w:pStyle w:val="ListParagraph"/>
        <w:widowControl/>
        <w:numPr>
          <w:ilvl w:val="0"/>
          <w:numId w:val="17"/>
        </w:numPr>
        <w:suppressAutoHyphens w:val="true"/>
        <w:bidi w:val="0"/>
        <w:spacing w:before="0" w:after="0"/>
        <w:ind w:left="397" w:right="0" w:hanging="397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iCs/>
          <w:color w:val="auto"/>
          <w:sz w:val="20"/>
          <w:szCs w:val="20"/>
        </w:rPr>
        <w:t xml:space="preserve">Strony ustalają, iż w ramach wynagrodzenia ustalonego zgodnie z § 6 Umowy, Zamawiający uprawniony jest do wykorzystywania wyników Badania </w:t>
      </w:r>
      <w:r>
        <w:rPr>
          <w:rFonts w:ascii="Arial" w:hAnsi="Arial"/>
          <w:color w:val="auto"/>
          <w:sz w:val="20"/>
          <w:szCs w:val="20"/>
        </w:rPr>
        <w:t xml:space="preserve">we własnej działalności włącznie z prawem do wprowadzenia modyfikacji do wyników Badania, po uprzedniej pisemnej akceptacji modyfikacji przez Wykonawcę. W ramach tego uprawnienia Zamawiającemu nie przysługuje prawo posługiwania się nazwą lub logiem Wykonawcy lub w inny sposób wskazywania na udział Wykonawcy w Badaniu, chyba, że Strony co innego ustalą w drodze odrębnej umowy. </w:t>
      </w:r>
    </w:p>
    <w:p>
      <w:pPr>
        <w:pStyle w:val="Normal"/>
        <w:tabs>
          <w:tab w:val="clear" w:pos="708"/>
          <w:tab w:val="left" w:pos="660" w:leader="none"/>
        </w:tabs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9.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Warunki płatności</w:t>
      </w:r>
    </w:p>
    <w:p>
      <w:pPr>
        <w:pStyle w:val="Normal"/>
        <w:numPr>
          <w:ilvl w:val="1"/>
          <w:numId w:val="14"/>
        </w:numPr>
        <w:spacing w:before="0" w:after="20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Płatność będzie dokonana </w:t>
      </w:r>
      <w:r>
        <w:rPr>
          <w:rFonts w:ascii="Arial" w:hAnsi="Arial"/>
          <w:color w:val="FF0000"/>
          <w:sz w:val="20"/>
          <w:szCs w:val="20"/>
        </w:rPr>
        <w:t>jednorazowo /  w ….. ratach / wg oddzielnego porozumienia*</w:t>
      </w:r>
    </w:p>
    <w:p>
      <w:pPr>
        <w:pStyle w:val="Normal"/>
        <w:numPr>
          <w:ilvl w:val="0"/>
          <w:numId w:val="0"/>
        </w:numPr>
        <w:spacing w:before="0" w:after="200"/>
        <w:ind w:left="360" w:hanging="0"/>
        <w:contextualSpacing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>- pierwsza rata w wysokości ….. % płatna, w ciągu 3 dni od podpisania umowy;*</w:t>
        <w:br/>
        <w:t>- pozostała płatność po przekazaniu Zamawiającemu faktury końcowej.*</w:t>
      </w:r>
    </w:p>
    <w:p>
      <w:pPr>
        <w:pStyle w:val="Normal"/>
        <w:numPr>
          <w:ilvl w:val="0"/>
          <w:numId w:val="0"/>
        </w:numPr>
        <w:spacing w:before="0" w:after="200"/>
        <w:ind w:left="360" w:hanging="0"/>
        <w:contextualSpacing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>* niepotrzebne skreślić.</w:t>
      </w:r>
    </w:p>
    <w:p>
      <w:pPr>
        <w:pStyle w:val="Normal"/>
        <w:numPr>
          <w:ilvl w:val="1"/>
          <w:numId w:val="14"/>
        </w:numPr>
        <w:spacing w:before="0" w:after="20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Po sporządzeniu protokołu odbioru Wykonawca wystawi i przekaże Zamawiającemu fakturę końcową za wykonane Badanie.</w:t>
      </w:r>
    </w:p>
    <w:p>
      <w:pPr>
        <w:pStyle w:val="Normal"/>
        <w:numPr>
          <w:ilvl w:val="1"/>
          <w:numId w:val="14"/>
        </w:numPr>
        <w:spacing w:before="0" w:after="20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Zamawiający zobowiązuje się dokonać płatności przelewem na konto Wykonawcy wskazane na fakturze, w terminie </w:t>
      </w:r>
      <w:r>
        <w:rPr>
          <w:rFonts w:ascii="Arial" w:hAnsi="Arial"/>
          <w:b/>
          <w:bCs/>
          <w:color w:val="auto"/>
          <w:sz w:val="20"/>
          <w:szCs w:val="20"/>
        </w:rPr>
        <w:t xml:space="preserve">7 </w:t>
      </w:r>
      <w:r>
        <w:rPr>
          <w:rFonts w:ascii="Arial" w:hAnsi="Arial"/>
          <w:b/>
          <w:color w:val="auto"/>
          <w:sz w:val="20"/>
          <w:szCs w:val="20"/>
        </w:rPr>
        <w:t>dni</w:t>
      </w:r>
      <w:r>
        <w:rPr>
          <w:rFonts w:ascii="Arial" w:hAnsi="Arial"/>
          <w:color w:val="auto"/>
          <w:sz w:val="20"/>
          <w:szCs w:val="20"/>
        </w:rPr>
        <w:t xml:space="preserve"> od daty otrzymania od Wykonawcy faktury.</w:t>
      </w:r>
    </w:p>
    <w:p>
      <w:pPr>
        <w:pStyle w:val="Normal"/>
        <w:numPr>
          <w:ilvl w:val="1"/>
          <w:numId w:val="14"/>
        </w:numPr>
        <w:spacing w:before="0" w:after="20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W przypadku opóźnienia płatności </w:t>
      </w:r>
      <w:r>
        <w:rPr>
          <w:rFonts w:ascii="Arial" w:hAnsi="Arial"/>
          <w:iCs/>
          <w:color w:val="auto"/>
          <w:sz w:val="20"/>
          <w:szCs w:val="20"/>
        </w:rPr>
        <w:t>Wykonawca</w:t>
      </w:r>
      <w:r>
        <w:rPr>
          <w:rFonts w:ascii="Arial" w:hAnsi="Arial"/>
          <w:color w:val="auto"/>
          <w:sz w:val="20"/>
          <w:szCs w:val="20"/>
        </w:rPr>
        <w:t xml:space="preserve"> ma prawo obciążyć </w:t>
      </w:r>
      <w:r>
        <w:rPr>
          <w:rFonts w:ascii="Arial" w:hAnsi="Arial"/>
          <w:iCs/>
          <w:color w:val="auto"/>
          <w:sz w:val="20"/>
          <w:szCs w:val="20"/>
        </w:rPr>
        <w:t>Zamawiającego</w:t>
      </w:r>
      <w:r>
        <w:rPr>
          <w:rFonts w:ascii="Arial" w:hAnsi="Arial"/>
          <w:color w:val="auto"/>
          <w:sz w:val="20"/>
          <w:szCs w:val="20"/>
        </w:rPr>
        <w:t xml:space="preserve"> odsetkami ustawowymi za opóźnienie w transakcjach handlowych.</w:t>
      </w:r>
    </w:p>
    <w:p>
      <w:pPr>
        <w:pStyle w:val="Normal"/>
        <w:numPr>
          <w:ilvl w:val="1"/>
          <w:numId w:val="14"/>
        </w:numPr>
        <w:spacing w:before="0" w:after="200"/>
        <w:contextualSpacing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Zamawiający upoważnia Wykonawcę do wystawienia faktury bez podpisu Zamawiającego.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10.</w:t>
      </w:r>
    </w:p>
    <w:p>
      <w:pPr>
        <w:pStyle w:val="Normal"/>
        <w:spacing w:before="0" w:after="120"/>
        <w:jc w:val="center"/>
        <w:rPr>
          <w:rFonts w:ascii="Arial" w:hAnsi="Arial" w:eastAsia="Times New Roman" w:cs="Times New Roman"/>
          <w:b/>
          <w:b/>
          <w:color w:val="auto"/>
          <w:kern w:val="0"/>
          <w:sz w:val="20"/>
          <w:szCs w:val="20"/>
          <w:lang w:val="pl-PL" w:eastAsia="pl-PL" w:bidi="ar-SA"/>
        </w:rPr>
      </w:pPr>
      <w:r>
        <w:rPr>
          <w:rFonts w:eastAsia="Times New Roman" w:cs="Times New Roman" w:ascii="Arial" w:hAnsi="Arial"/>
          <w:b/>
          <w:color w:val="auto"/>
          <w:kern w:val="0"/>
          <w:sz w:val="20"/>
          <w:szCs w:val="20"/>
          <w:lang w:val="pl-PL" w:eastAsia="pl-PL" w:bidi="ar-SA"/>
        </w:rPr>
        <w:t>Podmioty zewnętrzne</w:t>
      </w:r>
    </w:p>
    <w:p>
      <w:pPr>
        <w:pStyle w:val="BodyText3"/>
        <w:widowControl/>
        <w:numPr>
          <w:ilvl w:val="0"/>
          <w:numId w:val="0"/>
        </w:numPr>
        <w:tabs>
          <w:tab w:val="clear" w:pos="708"/>
        </w:tabs>
        <w:suppressAutoHyphens w:val="true"/>
        <w:bidi w:val="0"/>
        <w:spacing w:before="0" w:after="0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Ze względu na szeroki zakres zadań, InnoTech4Life może (przy zachowaniu wymogów §12) korzystać z podmiotów zewnętrznych (w szczególności jednostek badawczych SGGW w Warszawie), jednakże odpowiada za ich pracę jak za własną.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11.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auto"/>
          <w:sz w:val="20"/>
          <w:szCs w:val="20"/>
        </w:rPr>
        <w:t xml:space="preserve">Obowiązywanie i </w:t>
      </w:r>
      <w:r>
        <w:rPr>
          <w:rFonts w:ascii="Arial" w:hAnsi="Arial"/>
          <w:b/>
          <w:color w:val="auto"/>
          <w:sz w:val="20"/>
          <w:szCs w:val="20"/>
        </w:rPr>
        <w:t>rozwiązanie</w:t>
      </w:r>
      <w:r>
        <w:rPr>
          <w:rFonts w:ascii="Arial" w:hAnsi="Arial"/>
          <w:b/>
          <w:bCs/>
          <w:color w:val="auto"/>
          <w:sz w:val="20"/>
          <w:szCs w:val="20"/>
        </w:rPr>
        <w:t xml:space="preserve"> Umowy </w:t>
      </w:r>
    </w:p>
    <w:p>
      <w:pPr>
        <w:pStyle w:val="Default"/>
        <w:numPr>
          <w:ilvl w:val="0"/>
          <w:numId w:val="10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Umowa wygasa wskutek wykonania przez Strony zobowiązań.</w:t>
      </w:r>
    </w:p>
    <w:p>
      <w:pPr>
        <w:pStyle w:val="Default"/>
        <w:numPr>
          <w:ilvl w:val="0"/>
          <w:numId w:val="10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Każda ze Stron ma prawo wypowiedzenia Umowy, w formie pisemnej pod rygorem nieważności, z zachowaniem 7-dniowego okresu wypowiedzenia. </w:t>
      </w:r>
    </w:p>
    <w:p>
      <w:pPr>
        <w:pStyle w:val="Default"/>
        <w:numPr>
          <w:ilvl w:val="0"/>
          <w:numId w:val="10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W przypadku naruszenia istotnych jej postanowień przez drugą Stronę, Strona poszkodowana wezwie Stronę naruszającą do zaniechania naruszeń i usunięcia ich skutków, w terminie niezbędnym do wykonania powyższych zobowiązań.</w:t>
      </w:r>
    </w:p>
    <w:p>
      <w:pPr>
        <w:pStyle w:val="Default"/>
        <w:numPr>
          <w:ilvl w:val="0"/>
          <w:numId w:val="10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Po bezskutecznym upływie określonego w ustępie poprzedzającym terminu, nie krótszego jednak niż 5 dni roboczych, Strona poszkodowana może odstąpić od Umowy w trybie natychmiastowym, składając w terminie 3 dni od dnia bezskutecznego upływu terminu określonego w ustępie poprzedzającym, w formie pisemnej pod rygorem nieważności oświadczenie o rozwiązaniu Umowy ze skutkiem natychmiastowym. </w:t>
      </w:r>
    </w:p>
    <w:p>
      <w:pPr>
        <w:pStyle w:val="Default"/>
        <w:numPr>
          <w:ilvl w:val="0"/>
          <w:numId w:val="10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W przypadku wcześniejszego rozwiązania Umowy wobec wystąpienia okoliczności, o których mowa w ust. 2 do 4, zastosowanie znajdują postanowienia § 4 ust. 5 i 6 Umowy.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12.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Zobowiązanie do zachowania poufności</w:t>
      </w:r>
    </w:p>
    <w:p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Wykonawca zobowiązuje się w okresie obowiązywania Umowy, a także w terminie 5 lat po wygaśnięciu Umowy, do zachowania w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poufności informacji będących Tajemnicą Przedsiębiorstwa</w:t>
      </w:r>
      <w:r>
        <w:rPr>
          <w:rFonts w:ascii="Arial" w:hAnsi="Arial"/>
          <w:color w:val="auto"/>
          <w:sz w:val="20"/>
          <w:szCs w:val="20"/>
        </w:rPr>
        <w:t>.</w:t>
      </w:r>
    </w:p>
    <w:p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Dana informacja przestaje być Tajemnicą Przedsiębiorstwa w momencie podania jej w jakiejkolwiek formie do publicznej wiadomości przez Zamawiającego lub za jego pisemną zgodą.</w:t>
      </w:r>
    </w:p>
    <w:p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Wykonawca przyjmuje do wiadomości i akceptuje, że Tajemnica Przedsiębiorstwa stanowią cenną własność należącą wyłącznie do Zamawiającego. Wykonawca nie nabywa, żadnych praw do Tajemnicy Przedsiębiorstwa.</w:t>
      </w:r>
    </w:p>
    <w:p>
      <w:pPr>
        <w:pStyle w:val="ListParagraph"/>
        <w:numPr>
          <w:ilvl w:val="0"/>
          <w:numId w:val="9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Każda ze Stron jest zobowiązana do traktowania materiałów i informacji uzyskanych wzajemnie jako Tajemnicy Przedsiębiorstwa i do wykorzystania jej jedynie w pracach nad realizacją Badań.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13.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Przedstawiciele Stron</w:t>
      </w:r>
    </w:p>
    <w:p>
      <w:pPr>
        <w:pStyle w:val="ListParagraph"/>
        <w:numPr>
          <w:ilvl w:val="1"/>
          <w:numId w:val="8"/>
        </w:numPr>
        <w:ind w:left="426" w:hanging="39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Do kontaktów roboczych w sprawach związanych z realizacją Umowy, Strony wyznaczają:</w:t>
      </w:r>
    </w:p>
    <w:p>
      <w:pPr>
        <w:pStyle w:val="ListParagraph"/>
        <w:numPr>
          <w:ilvl w:val="0"/>
          <w:numId w:val="16"/>
        </w:numPr>
        <w:ind w:left="851" w:hanging="49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ze strony Zamawiającego:</w:t>
      </w:r>
    </w:p>
    <w:p>
      <w:pPr>
        <w:pStyle w:val="Normal"/>
        <w:ind w:left="108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 – ………………</w:t>
      </w:r>
      <w:r>
        <w:rPr>
          <w:rFonts w:ascii="Arial" w:hAnsi="Arial"/>
          <w:color w:val="auto"/>
          <w:sz w:val="20"/>
          <w:szCs w:val="20"/>
        </w:rPr>
        <w:t>.………..</w:t>
      </w:r>
      <w:sdt>
        <w:sdtPr>
          <w:id w:val="1208382923"/>
        </w:sdtPr>
        <w:sdtContent>
          <w:r>
            <w:rPr/>
            <w:t>, tel. ……………..…., e-mail: ………………………...</w:t>
          </w:r>
        </w:sdtContent>
      </w:sdt>
    </w:p>
    <w:p>
      <w:pPr>
        <w:pStyle w:val="ListParagraph"/>
        <w:numPr>
          <w:ilvl w:val="0"/>
          <w:numId w:val="16"/>
        </w:numPr>
        <w:ind w:left="851" w:hanging="49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ze strony Wykonawcy:</w:t>
      </w:r>
    </w:p>
    <w:p>
      <w:pPr>
        <w:pStyle w:val="Normal"/>
        <w:ind w:left="108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–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Judyta Sobczyk</w:t>
      </w:r>
      <w:r>
        <w:rPr>
          <w:rFonts w:ascii="Arial" w:hAnsi="Arial"/>
          <w:color w:val="auto"/>
          <w:sz w:val="20"/>
          <w:szCs w:val="20"/>
        </w:rPr>
        <w:t>, tel. 501 100 473</w:t>
      </w:r>
      <w:r>
        <w:rPr>
          <w:rFonts w:ascii="Arial" w:hAnsi="Arial"/>
          <w:color w:val="auto"/>
          <w:sz w:val="20"/>
          <w:szCs w:val="20"/>
          <w:lang w:val="en-US"/>
        </w:rPr>
        <w:t>, e-mail: j.sobczyk@innotech4life.pl</w:t>
      </w:r>
    </w:p>
    <w:p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Wszelkie powiadomienia związane z realizacją Umowy oraz bieżące kontakty Stron mogą być dokonywane w formie wiadomości elektronicznej (zalecane) lub innymi dostępnymi środkami dostarczania przesyłek (np. poczta, kurier, przewoźnik) na wskazane powyżej adresy e-mail lub adresy do doręczeń pocztowych wskazane w komparycji Umowy.</w:t>
      </w:r>
    </w:p>
    <w:p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  <w:lang w:val="fr-FR"/>
        </w:rPr>
        <w:t>Zawiadomienia i oświadczenia bezwzględnie wymagające formy pismenej będą przekazywane na adresy Stron wskazane w komparycji Umowy, kurierem, listem poleconym lub osobiście, za potwierdzeniem odbioru.</w:t>
      </w:r>
    </w:p>
    <w:p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  <w:lang w:val="fr-FR"/>
        </w:rPr>
        <w:t>Strona, która zamierza dokonać zmiany adresu, adresu e-mail lub osoby wyznaczonej do kontaktów powinna powiadomić o tym niezwłocznie drugą Stronę. W przypadku niepowiadomienia drugiej Strony o zmianie danych kontaktowych, wszelkie pisma, zawiadomienia i pozostała korespondencja wysyłana na dotychczasowy adres będzie uznana za parawidłowo doręczoną.</w:t>
      </w:r>
    </w:p>
    <w:p>
      <w:pPr>
        <w:pStyle w:val="ListParagraph"/>
        <w:numPr>
          <w:ilvl w:val="0"/>
          <w:numId w:val="15"/>
        </w:numPr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  <w:lang w:val="fr-FR"/>
        </w:rPr>
        <w:t>Zmiana, o której mowa w ust. 4 powyżej, nie stanowi zmiany Umowy.</w:t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§ 14.</w:t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Postanowienia końcowe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Wszystkie zmiany Umowy wymagają formy pisemnej pod rygorem nieważności, za wyjątkiem danych wskazanych w § 13 Umowy.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Żadna ze Stron nie może przenieść swych praw lub obowiązków wynikających z Umowy na osobę trzecią, bez uprzedniej zgody drugiej Strony, wyrażonej na piśmie pod rygorem nieważności.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W przypadku, gdyby którekolwiek z postanowień Umowy okazało się nieważne bądź nieskuteczne, nie będzie to miało wpływu na obowiązywanie Umowy w pozostałej części, o ile obowiązywanie Umowy bez tych postanowień ma uzasadnienie gospodarcze dla Stron. W miejsce nieważnych postanowień Umowy zastosowanie mają odpowiednie przepisy prawa powszechnie obowiązującego. 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Niedochodzenie przez którąkolwiek ze Stron należytego wykonania jakiegokolwiek zobowiązania drugiej Strony, wynikającego z Umowy, nie oznacza zrzeczenia się przez tę Stronę jakichkolwiek praw z Umowy.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W sprawach nieuregulowanych Umową mają zastosowanie przepisy Kodeksu Cywilnego oraz innych ustaw.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W razie wystąpienia jakichkolwiek sporów lub niejasności na tle wykonania Umowy, Strony zobowiązują się do rozstrzygania ich na drodze polubownej, a w przypadku nie osiągnięcia porozumienia, mogą oddać rozstrzygnięcie sporu jurysdykcji sądu powszechnego właściwego dla siedziby Wykonawcy.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Zamawiający zobowiązuje się do przekazania w imieniu Wykonawcy, informacji zawartych w załączniku nr 3 do tej Umowy, wszystkim osobom, których dane będzie przetwarzała InnoTech4Life Sp. z o.o. w ramach realizowanej umowy m.in. reprezentantom Zamawiającego i/lub jego pełnomocnikom, osobom wyznaczonym do kontaktu oraz osobom upoważnionym przez niego do podpisywania wszelkich oświadczeń w imieniu i na rzecz Zamawiającego, a związanych z realizacją przedmiotowej Umowy.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Korespondencja wysłana na podstawie niniejszej Umowy zwrócona z adnotacją urzędu pocztowego: </w:t>
      </w:r>
      <w:r>
        <w:rPr>
          <w:rFonts w:ascii="Arial" w:hAnsi="Arial"/>
          <w:i/>
        </w:rPr>
        <w:t>„nie podjęto w terminie”,</w:t>
      </w:r>
      <w:r>
        <w:rPr>
          <w:rFonts w:ascii="Arial" w:hAnsi="Arial"/>
        </w:rPr>
        <w:t xml:space="preserve"> „</w:t>
      </w:r>
      <w:r>
        <w:rPr>
          <w:rFonts w:ascii="Arial" w:hAnsi="Arial"/>
          <w:i/>
        </w:rPr>
        <w:t>adresat wyprowadził się</w:t>
      </w:r>
      <w:r>
        <w:rPr>
          <w:rFonts w:ascii="Arial" w:hAnsi="Arial"/>
        </w:rPr>
        <w:t>” lub tym podobne, uznaje się za skutecznie doręczoną.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Arial" w:hAnsi="Arial"/>
        </w:rPr>
      </w:pPr>
      <w:r>
        <w:rPr>
          <w:rFonts w:ascii="Arial" w:hAnsi="Arial"/>
          <w:color w:val="auto"/>
          <w:sz w:val="20"/>
          <w:szCs w:val="20"/>
        </w:rPr>
        <w:t>Umowę sporządzono w 2 jednobrzmiących egzemplarzach, po jednym dla każdej ze Stron.</w:t>
      </w:r>
    </w:p>
    <w:p>
      <w:pPr>
        <w:pStyle w:val="Normal"/>
        <w:rPr>
          <w:rFonts w:ascii="Arial" w:hAnsi="Arial"/>
          <w:i/>
          <w:i/>
          <w:color w:val="auto"/>
          <w:sz w:val="20"/>
          <w:szCs w:val="20"/>
        </w:rPr>
      </w:pPr>
      <w:r>
        <w:rPr>
          <w:rFonts w:ascii="Arial" w:hAnsi="Arial"/>
          <w:i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i/>
          <w:i/>
          <w:color w:val="auto"/>
          <w:sz w:val="20"/>
          <w:szCs w:val="20"/>
        </w:rPr>
      </w:pPr>
      <w:r>
        <w:rPr>
          <w:rFonts w:ascii="Arial" w:hAnsi="Arial"/>
          <w:i/>
          <w:color w:val="auto"/>
          <w:sz w:val="20"/>
          <w:szCs w:val="20"/>
        </w:rPr>
      </w:r>
    </w:p>
    <w:p>
      <w:pPr>
        <w:pStyle w:val="Normal"/>
        <w:ind w:left="709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 xml:space="preserve">Za Zamawiającego </w:t>
        <w:tab/>
        <w:tab/>
        <w:tab/>
        <w:tab/>
        <w:tab/>
        <w:tab/>
        <w:t>Za Wykonawcę</w:t>
        <w:tab/>
      </w:r>
    </w:p>
    <w:p>
      <w:pPr>
        <w:pStyle w:val="Normal"/>
        <w:rPr>
          <w:rFonts w:ascii="Arial" w:hAnsi="Arial"/>
          <w:i/>
          <w:i/>
          <w:color w:val="auto"/>
          <w:sz w:val="20"/>
          <w:szCs w:val="20"/>
        </w:rPr>
      </w:pPr>
      <w:r>
        <w:rPr>
          <w:rFonts w:ascii="Arial" w:hAnsi="Arial"/>
          <w:i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i/>
          <w:color w:val="auto"/>
          <w:sz w:val="20"/>
          <w:szCs w:val="20"/>
        </w:rPr>
        <w:tab/>
        <w:t xml:space="preserve">……..……………………………………..             </w:t>
        <w:tab/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ind w:left="6381" w:hanging="0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  <w:r>
        <w:br w:type="page"/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Załącznik nr 1 do Umowy</w:t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Harmonogram badań</w:t>
      </w:r>
    </w:p>
    <w:p>
      <w:pPr>
        <w:pStyle w:val="Normal"/>
        <w:rPr>
          <w:rFonts w:ascii="Arial" w:hAnsi="Arial"/>
          <w:b/>
          <w:b/>
          <w:color w:val="auto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</w:r>
    </w:p>
    <w:tbl>
      <w:tblPr>
        <w:tblStyle w:val="Tabela-Siatka"/>
        <w:tblW w:w="9795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846"/>
        <w:gridCol w:w="4974"/>
        <w:gridCol w:w="1140"/>
        <w:gridCol w:w="1245"/>
        <w:gridCol w:w="1590"/>
      </w:tblGrid>
      <w:tr>
        <w:trPr/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Nr zadania</w:t>
            </w:r>
          </w:p>
        </w:tc>
        <w:tc>
          <w:tcPr>
            <w:tcW w:w="4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Tytuł zadania (z krótki opisem zakresu, jeśli jest wymagany)</w:t>
            </w:r>
          </w:p>
        </w:tc>
        <w:tc>
          <w:tcPr>
            <w:tcW w:w="2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Termin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Całkowity koszt zadania brutto, PLN</w:t>
            </w:r>
          </w:p>
        </w:tc>
      </w:tr>
      <w:tr>
        <w:trPr/>
        <w:tc>
          <w:tcPr>
            <w:tcW w:w="84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49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rozpoczęcia zadania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zakończenia zadania</w:t>
            </w:r>
          </w:p>
        </w:tc>
        <w:tc>
          <w:tcPr>
            <w:tcW w:w="159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432" w:hRule="atLeast"/>
        </w:trPr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before="0" w:after="0"/>
              <w:ind w:left="341" w:hanging="284"/>
              <w:contextualSpacing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4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right="43" w:hanging="0"/>
              <w:jc w:val="right"/>
              <w:rPr/>
            </w:pPr>
            <w:r>
              <w:rPr/>
            </w:r>
          </w:p>
        </w:tc>
      </w:tr>
    </w:tbl>
    <w:p>
      <w:pPr>
        <w:pStyle w:val="Normal"/>
        <w:jc w:val="right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  <w:r>
        <w:br w:type="page"/>
      </w:r>
    </w:p>
    <w:p>
      <w:pPr>
        <w:pStyle w:val="Normal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Załącznik nr 2 do Umowy</w:t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Protokół zdawczo-odbiorczy</w:t>
      </w:r>
    </w:p>
    <w:p>
      <w:pPr>
        <w:pStyle w:val="Normal"/>
        <w:jc w:val="center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Sporządzony w dniu …………….. w ………………………….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w sprawie przekazania – odbioru Przedmiotu Umowy z dnia ………………</w:t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 xml:space="preserve">Zamawiający: </w:t>
      </w:r>
      <w:r>
        <w:rPr>
          <w:rFonts w:ascii="Arial" w:hAnsi="Arial"/>
          <w:b w:val="false"/>
          <w:bCs w:val="false"/>
          <w:color w:val="auto"/>
          <w:sz w:val="20"/>
          <w:szCs w:val="20"/>
        </w:rPr>
        <w:t>……………….…………………………………… z siedzibą w …………………………………………...,</w:t>
        <w:br/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color w:val="auto"/>
          <w:sz w:val="20"/>
          <w:szCs w:val="20"/>
        </w:rPr>
        <w:t>…………………………</w:t>
      </w:r>
      <w:r>
        <w:rPr>
          <w:rFonts w:ascii="Arial" w:hAnsi="Arial"/>
          <w:b w:val="false"/>
          <w:bCs w:val="false"/>
          <w:color w:val="auto"/>
          <w:sz w:val="20"/>
          <w:szCs w:val="20"/>
        </w:rPr>
        <w:t>.. …………………………………..nr NIP …………………..,</w:t>
      </w:r>
    </w:p>
    <w:p>
      <w:pPr>
        <w:pStyle w:val="Normal"/>
        <w:rPr>
          <w:rFonts w:ascii="Arial" w:hAnsi="Arial"/>
          <w:color w:val="auto"/>
          <w:sz w:val="20"/>
          <w:szCs w:val="20"/>
          <w:u w:val="single"/>
        </w:rPr>
      </w:pPr>
      <w:r>
        <w:rPr>
          <w:rFonts w:ascii="Arial" w:hAnsi="Arial"/>
          <w:color w:val="auto"/>
          <w:sz w:val="20"/>
          <w:szCs w:val="20"/>
          <w:u w:val="single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 xml:space="preserve">Wykonawca: </w:t>
      </w:r>
      <w:r>
        <w:rPr>
          <w:rFonts w:ascii="Arial" w:hAnsi="Arial"/>
          <w:b w:val="false"/>
          <w:bCs w:val="false"/>
          <w:color w:val="auto"/>
          <w:sz w:val="20"/>
          <w:szCs w:val="20"/>
        </w:rPr>
        <w:t xml:space="preserve">InnoTech4Life Sp. z o.o (Spółka Celowa SGGW) z siedzibą w Warszawie, </w:t>
        <w:br/>
        <w:t>ul. Nowoursynowska 166 bud. 8/119, 02-787 Warszawa, NIP: 951-252-20-02, KRS: 0000906024</w:t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Przedmiot przekazania – odbioru:</w:t>
      </w:r>
      <w:r>
        <w:rPr>
          <w:rFonts w:ascii="Arial" w:hAnsi="Arial"/>
          <w:color w:val="auto"/>
          <w:sz w:val="20"/>
          <w:szCs w:val="20"/>
        </w:rPr>
        <w:t xml:space="preserve"> </w:t>
      </w:r>
      <w:sdt>
        <w:sdtPr>
          <w:id w:val="1452816342"/>
        </w:sdtPr>
        <w:sdtContent>
          <w:r>
            <w:rPr/>
            <w:t>„ …………………..…………………………………………………...”</w:t>
          </w:r>
        </w:sdtContent>
      </w:sdt>
      <w:r>
        <w:rPr>
          <w:rFonts w:ascii="Arial" w:hAnsi="Arial"/>
          <w:bCs/>
          <w:color w:val="auto"/>
          <w:sz w:val="20"/>
          <w:szCs w:val="20"/>
        </w:rPr>
        <w:t xml:space="preserve"> </w:t>
      </w:r>
    </w:p>
    <w:p>
      <w:pPr>
        <w:pStyle w:val="Normal"/>
        <w:rPr>
          <w:color w:val="auto"/>
        </w:rPr>
      </w:pPr>
      <w:r>
        <w:rPr>
          <w:color w:val="auto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Skład komisji:</w:t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1"/>
        <w:gridCol w:w="3021"/>
      </w:tblGrid>
      <w:tr>
        <w:trPr>
          <w:trHeight w:val="577" w:hRule="atLeast"/>
        </w:trPr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Przedstawiciele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Imię i Nazwisko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Pełniona funkcja/ stanowisko</w:t>
            </w:r>
          </w:p>
        </w:tc>
      </w:tr>
      <w:tr>
        <w:trPr/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Zamawiającego</w:t>
              <w:br/>
            </w:r>
          </w:p>
        </w:tc>
        <w:tc>
          <w:tcPr>
            <w:tcW w:w="3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3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3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  <w:t>Wykonawcy</w:t>
              <w:br/>
            </w:r>
          </w:p>
        </w:tc>
        <w:tc>
          <w:tcPr>
            <w:tcW w:w="30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3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eastAsia="Times New Roman" w:cs="Times New Roman"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Arial" w:hAnsi="Arial"/>
                <w:color w:val="auto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Strony/Komisja</w:t>
      </w:r>
      <w:r>
        <w:rPr>
          <w:rFonts w:ascii="Arial" w:hAnsi="Arial"/>
          <w:color w:val="auto"/>
          <w:sz w:val="20"/>
          <w:szCs w:val="20"/>
        </w:rPr>
        <w:t xml:space="preserve"> ustaliły/a, że przedmiot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l-PL" w:eastAsia="pl-PL" w:bidi="ar-SA"/>
        </w:rPr>
        <w:t>Umowy</w:t>
      </w:r>
      <w:r>
        <w:rPr>
          <w:rFonts w:ascii="Arial" w:hAnsi="Arial"/>
          <w:color w:val="auto"/>
          <w:sz w:val="20"/>
          <w:szCs w:val="20"/>
        </w:rPr>
        <w:t xml:space="preserve"> wykonano zgodnie z Umową, bez zastrzeżeń.  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Protokół sporządzono w dwóch jednobrzmiących egzemplarzach po jednym dla każdej ze Stron.</w:t>
      </w:r>
    </w:p>
    <w:p>
      <w:pPr>
        <w:pStyle w:val="Normal"/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    …………………………………………</w:t>
      </w:r>
      <w:r>
        <w:rPr>
          <w:rFonts w:ascii="Arial" w:hAnsi="Arial"/>
          <w:color w:val="auto"/>
          <w:sz w:val="20"/>
          <w:szCs w:val="20"/>
        </w:rPr>
        <w:t>..</w:t>
        <w:tab/>
        <w:tab/>
        <w:tab/>
        <w:tab/>
        <w:t xml:space="preserve">    ………………………………………..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auto"/>
          <w:sz w:val="20"/>
          <w:szCs w:val="20"/>
        </w:rPr>
        <w:t>Przedstawiciel(e) Zamawiającego</w:t>
        <w:tab/>
        <w:tab/>
        <w:tab/>
        <w:tab/>
        <w:t>Przedstawiciel(e) InnoTech4Life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  <w:r>
        <w:br w:type="page"/>
      </w:r>
    </w:p>
    <w:p>
      <w:pPr>
        <w:pStyle w:val="Normal"/>
        <w:ind w:left="0" w:hanging="0"/>
        <w:jc w:val="right"/>
        <w:rPr>
          <w:b w:val="false"/>
          <w:b w:val="false"/>
          <w:bCs w:val="false"/>
        </w:rPr>
      </w:pPr>
      <w:r>
        <w:rPr>
          <w:rFonts w:eastAsia="Times New Roman" w:ascii="Arial" w:hAnsi="Arial"/>
          <w:b w:val="false"/>
          <w:bCs w:val="false"/>
          <w:color w:val="auto"/>
          <w:sz w:val="20"/>
          <w:szCs w:val="20"/>
          <w:u w:val="single"/>
          <w:lang w:eastAsia="pl-PL"/>
        </w:rPr>
        <w:t>Załącznik nr 3 do Umowy</w:t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ind w:left="0" w:hanging="0"/>
        <w:jc w:val="center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color w:val="auto"/>
          <w:sz w:val="20"/>
          <w:szCs w:val="20"/>
          <w:u w:val="single"/>
          <w:lang w:eastAsia="pl-PL"/>
        </w:rPr>
        <w:t xml:space="preserve">Klauzula informacyjna RODO dla podmiotów współpracujących z InnoTech4Life Sp. z o.o. </w:t>
      </w:r>
      <w:r>
        <w:rPr>
          <w:rFonts w:eastAsia="Times New Roman" w:ascii="Times New Roman" w:hAnsi="Times New Roman"/>
          <w:b/>
          <w:u w:val="single"/>
          <w:lang w:eastAsia="pl-PL"/>
        </w:rPr>
        <w:br/>
        <w:t>w tym ich reprezentantów, pracowników i współpracowników oraz osób wskazanych do kontaktu w Umowie</w:t>
      </w:r>
    </w:p>
    <w:p>
      <w:pPr>
        <w:pStyle w:val="Normal"/>
        <w:ind w:left="0" w:hanging="0"/>
        <w:jc w:val="left"/>
        <w:rPr>
          <w:rFonts w:ascii="Times New Roman" w:hAnsi="Times New Roman" w:eastAsia="Times New Roman"/>
          <w:b/>
          <w:b/>
          <w:u w:val="single"/>
          <w:lang w:eastAsia="pl-PL"/>
        </w:rPr>
      </w:pPr>
      <w:r>
        <w:rPr>
          <w:rFonts w:eastAsia="Times New Roman" w:ascii="Times New Roman" w:hAnsi="Times New Roman"/>
          <w:b/>
          <w:u w:val="single"/>
          <w:lang w:eastAsia="pl-PL"/>
        </w:rPr>
      </w:r>
    </w:p>
    <w:p>
      <w:pPr>
        <w:pStyle w:val="Normal"/>
        <w:widowControl/>
        <w:suppressAutoHyphens w:val="true"/>
        <w:bidi w:val="0"/>
        <w:spacing w:before="0" w:after="0"/>
        <w:ind w:left="454" w:right="0" w:hanging="0"/>
        <w:jc w:val="left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Wykonawca, działając jako administrator danych osobowych, (dalej: „Administrator”), w rozumieniu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(zwanego dalej „RODO”), </w:t>
      </w:r>
      <w:r>
        <w:rPr>
          <w:rFonts w:eastAsia="Times New Roman" w:ascii="Times New Roman" w:hAnsi="Times New Roman"/>
          <w:u w:val="single"/>
          <w:lang w:eastAsia="pl-PL"/>
        </w:rPr>
        <w:t xml:space="preserve">informuje, że w związku z zawarciem </w:t>
      </w:r>
      <w:r>
        <w:rPr>
          <w:rFonts w:ascii="Times New Roman" w:hAnsi="Times New Roman"/>
          <w:u w:val="single"/>
        </w:rPr>
        <w:t>oraz realizacją umowy będącej podstawą współpracy pomiędzy Administratorem i Zamawiającym</w:t>
      </w:r>
      <w:r>
        <w:rPr>
          <w:rFonts w:eastAsia="Times New Roman" w:ascii="Times New Roman" w:hAnsi="Times New Roman"/>
          <w:u w:val="single"/>
          <w:lang w:eastAsia="pl-PL"/>
        </w:rPr>
        <w:t>, przetwarza Państwa dane osobowe (imię, nazwisko, dane kontaktowe i inne dane służbowe) oraz że</w:t>
      </w:r>
      <w:r>
        <w:rPr>
          <w:rFonts w:eastAsia="Times New Roman" w:ascii="Times New Roman" w:hAnsi="Times New Roman"/>
          <w:lang w:eastAsia="pl-PL"/>
        </w:rPr>
        <w:t>:</w:t>
      </w:r>
    </w:p>
    <w:p>
      <w:pPr>
        <w:pStyle w:val="Normal"/>
        <w:numPr>
          <w:ilvl w:val="0"/>
          <w:numId w:val="22"/>
        </w:numPr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Administrator wyznaczył Inspektora Ochrony Danych, z którym można kontaktować się we wszystkich sprawach związanych z przetwarzaniem danych osobowych oraz wykonywaniem praw przez osoby, których dane dotyczą, przysługujących na mocy RODO pod adresem e-mail: iod@innotech4life.pl lub na adres siedziby Administratora (ul. Nowoursynowska 166 bud. 8 pok.119, 02-787 Warszawa) z dopiskiem: Inspektor Ochrony Danych.</w:t>
      </w:r>
    </w:p>
    <w:p>
      <w:pPr>
        <w:pStyle w:val="Normal"/>
        <w:numPr>
          <w:ilvl w:val="0"/>
          <w:numId w:val="22"/>
        </w:numPr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Pani/Pana dane osobowe będą przetwarzane w celu i na podstawie: </w:t>
      </w:r>
    </w:p>
    <w:p>
      <w:pPr>
        <w:pStyle w:val="ListParagraph"/>
        <w:numPr>
          <w:ilvl w:val="0"/>
          <w:numId w:val="19"/>
        </w:numPr>
        <w:spacing w:before="0" w:after="160"/>
        <w:contextualSpacing/>
        <w:rPr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</w:rPr>
        <w:t>realizacji praw i obo</w:t>
      </w:r>
      <w:bookmarkStart w:id="0" w:name="_GoBack"/>
      <w:bookmarkEnd w:id="0"/>
      <w:r>
        <w:rPr>
          <w:rFonts w:cs="Times New Roman" w:ascii="Times New Roman" w:hAnsi="Times New Roman"/>
        </w:rPr>
        <w:t>wiązków wynikających z umowy (podstawa prawna –</w:t>
        <w:br/>
        <w:t>zawarta umowa; w przypadku jednoosobowej działalności gospodarczej art. 6 ust. 1 lit. b RODO) – „wykonanie umowy”,</w:t>
      </w:r>
    </w:p>
    <w:p>
      <w:pPr>
        <w:pStyle w:val="ListParagraph"/>
        <w:numPr>
          <w:ilvl w:val="0"/>
          <w:numId w:val="19"/>
        </w:numPr>
        <w:spacing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wypełniania obowiązków prawnych np. prowadzenie dokumentacji księgowej i podatkowej jak również jej archiwizowanie (podstawa prawna - art. 6 ust. 1 lit. c RODO) – „obowiązek prawny”,</w:t>
      </w:r>
    </w:p>
    <w:p>
      <w:pPr>
        <w:pStyle w:val="ListParagraph"/>
        <w:numPr>
          <w:ilvl w:val="0"/>
          <w:numId w:val="19"/>
        </w:numPr>
        <w:spacing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wykonywania postanowień umowy, dochodzenie lub obrona przed ewentualnymi roszczeniami związanymi z umową (podstawa prawna - art. 6 ust. 1 lit. f RODO) – „prawnie uzasadniony interes”;  </w:t>
      </w:r>
    </w:p>
    <w:p>
      <w:pPr>
        <w:pStyle w:val="ListParagraph"/>
        <w:numPr>
          <w:ilvl w:val="0"/>
          <w:numId w:val="19"/>
        </w:numPr>
        <w:spacing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kontakt z przedstawicielami lub osobami wskazanymi do kontaktu w sprawach dotyczących realizacji umowy (podstawa prawna - art. 6 ust. 1 lit. f RODO) –</w:t>
      </w:r>
    </w:p>
    <w:p>
      <w:pPr>
        <w:pStyle w:val="ListParagraph"/>
        <w:spacing w:before="0" w:after="160"/>
        <w:ind w:left="1135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Przekazanie danych jest dobrowolne, ale niezbędne dla realizacji umowy oraz innych ww. celów Administratora. Odmowa przekazania danych może się wiązać z brakiem możliwości realizacji umowy oraz ww. celów.</w:t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Pani/Pana dane osobowe przetwarzane będą wyłącznie przez okres wyczerpania ww. celów, a więc szczególnie przez okres:</w:t>
      </w:r>
    </w:p>
    <w:p>
      <w:pPr>
        <w:pStyle w:val="ListParagraph"/>
        <w:numPr>
          <w:ilvl w:val="0"/>
          <w:numId w:val="20"/>
        </w:numPr>
        <w:spacing w:lineRule="auto" w:line="276"/>
        <w:rPr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</w:rPr>
        <w:t>obowiązywania zawartej umowy,</w:t>
      </w:r>
    </w:p>
    <w:p>
      <w:pPr>
        <w:pStyle w:val="ListParagraph"/>
        <w:numPr>
          <w:ilvl w:val="0"/>
          <w:numId w:val="20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 momentu wyrażenia sprzeciwu,</w:t>
      </w:r>
    </w:p>
    <w:p>
      <w:pPr>
        <w:pStyle w:val="ListParagraph"/>
        <w:numPr>
          <w:ilvl w:val="0"/>
          <w:numId w:val="20"/>
        </w:numPr>
        <w:spacing w:lineRule="auto" w:line="252" w:before="0" w:after="16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okres przechowywania dokumentów określony przepisami prawa np. przepisy prawa podatkowego, w tym określające okres archiwizowania,</w:t>
      </w:r>
    </w:p>
    <w:p>
      <w:pPr>
        <w:pStyle w:val="ListParagraph"/>
        <w:numPr>
          <w:ilvl w:val="0"/>
          <w:numId w:val="20"/>
        </w:numPr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okres przedawnienia roszczeń wynikający z przepisów szczególnych np. kodeks cywilny i inne przepisy właściwe dla zawartej umowy. 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360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Odbiorcami Pani/Pana danych osobowych są: </w:t>
      </w:r>
    </w:p>
    <w:p>
      <w:pPr>
        <w:pStyle w:val="Normal"/>
        <w:numPr>
          <w:ilvl w:val="0"/>
          <w:numId w:val="21"/>
        </w:numPr>
        <w:suppressAutoHyphens w:val="true"/>
        <w:spacing w:lineRule="auto" w:line="360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upoważnieni pracownicy oraz współpracownicy Administratora;</w:t>
      </w:r>
    </w:p>
    <w:p>
      <w:pPr>
        <w:pStyle w:val="Normal"/>
        <w:widowControl w:val="false"/>
        <w:numPr>
          <w:ilvl w:val="0"/>
          <w:numId w:val="21"/>
        </w:numPr>
        <w:suppressLineNumbers/>
        <w:suppressAutoHyphens w:val="true"/>
        <w:spacing w:lineRule="auto" w:line="276" w:before="0" w:after="0"/>
        <w:contextualSpacing/>
        <w:jc w:val="left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podmioty przetwarzające dane na zlecenie i w imieniu Administratora danych, na podstawie odrębnie zawartych umów, w celu świadczenia określonych usług, np. usług teleinformatycznych tj. m.in.: hosting, dostarczanie lub utrzymanie systemów informatycznych, ewentualnie usług prawnych lub doradczych w zakresie ochrony danych osobowych, podmioty uprawnione na podstawie przepisów prawa;</w:t>
      </w:r>
    </w:p>
    <w:p>
      <w:pPr>
        <w:pStyle w:val="Normal"/>
        <w:widowControl w:val="false"/>
        <w:numPr>
          <w:ilvl w:val="0"/>
          <w:numId w:val="21"/>
        </w:numPr>
        <w:suppressLineNumbers/>
        <w:suppressAutoHyphens w:val="true"/>
        <w:spacing w:lineRule="auto" w:line="276" w:before="0" w:after="0"/>
        <w:contextualSpacing/>
        <w:jc w:val="left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podmioty uprawnione na podstawie przepisów prawa.</w:t>
      </w:r>
    </w:p>
    <w:p>
      <w:pPr>
        <w:pStyle w:val="Normal"/>
        <w:widowControl w:val="false"/>
        <w:numPr>
          <w:ilvl w:val="0"/>
          <w:numId w:val="18"/>
        </w:numPr>
        <w:suppressAutoHyphens w:val="true"/>
        <w:spacing w:lineRule="auto" w:line="276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Przysługuje Pani/Panu jako osobie, której dane dotyczą, prawo dostępu do w/w danych osobowych, ich sprostowania, usunięcia lub ograniczenia przetwarzania, prawo wniesienia sprzeciwu wobec przetwarzania danych;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276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Przysługuje Pani/Panu prawo wniesienia skargi do Prezesa Urzędu Ochrony Danych Osobowych z siedzibą w Warszawie przy ul. Stawki 2; 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276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Dane nie podlegają przetwarzaniu w celu zautomatyzowanego podejmowania decyzji.</w:t>
      </w:r>
    </w:p>
    <w:p>
      <w:pPr>
        <w:pStyle w:val="Normal"/>
        <w:numPr>
          <w:ilvl w:val="0"/>
          <w:numId w:val="18"/>
        </w:numPr>
        <w:suppressAutoHyphens w:val="true"/>
        <w:spacing w:lineRule="auto" w:line="276"/>
        <w:textAlignment w:val="top"/>
        <w:outlineLvl w:val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Dane osobowe nie będą przekazywane poza Europejski Obszar Gospodarczy.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/>
      </w:r>
    </w:p>
    <w:sectPr>
      <w:footerReference w:type="default" r:id="rId3"/>
      <w:type w:val="nextPage"/>
      <w:pgSz w:w="11906" w:h="16838"/>
      <w:pgMar w:left="850" w:right="879" w:gutter="0" w:header="0" w:top="567" w:footer="454" w:bottom="19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ms Rmn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170" w:type="dxa"/>
      <w:jc w:val="left"/>
      <w:tblInd w:w="0" w:type="dxa"/>
      <w:tblLayout w:type="fixed"/>
      <w:tblCellMar>
        <w:top w:w="57" w:type="dxa"/>
        <w:left w:w="57" w:type="dxa"/>
        <w:bottom w:w="57" w:type="dxa"/>
        <w:right w:w="57" w:type="dxa"/>
      </w:tblCellMar>
    </w:tblPr>
    <w:tblGrid>
      <w:gridCol w:w="5100"/>
      <w:gridCol w:w="5069"/>
    </w:tblGrid>
    <w:tr>
      <w:trPr>
        <w:trHeight w:val="960" w:hRule="atLeast"/>
      </w:trPr>
      <w:tc>
        <w:tcPr>
          <w:tcW w:w="51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>
          <w:pPr>
            <w:pStyle w:val="Zawartotabeli"/>
            <w:widowControl w:val="false"/>
            <w:rPr/>
          </w:pPr>
          <w:r>
            <w:rPr/>
            <w:drawing>
              <wp:inline distT="0" distB="0" distL="0" distR="0">
                <wp:extent cx="1559560" cy="572135"/>
                <wp:effectExtent l="0" t="0" r="0" b="0"/>
                <wp:docPr id="2" name="Obraz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9560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Zawartotabeli"/>
            <w:widowControl w:val="false"/>
            <w:suppressLineNumbers/>
            <w:suppressAutoHyphens w:val="true"/>
            <w:bidi w:val="0"/>
            <w:spacing w:before="0" w:after="0"/>
            <w:ind w:left="113" w:right="0" w:hanging="0"/>
            <w:jc w:val="lef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InnoTech4Life sp. z o.o. - Spółka Celowa SGGW</w:t>
            <w:br/>
            <w:t>ul. Nowoursynowska 166, b8/119, 02-787 Warszawa</w:t>
          </w:r>
        </w:p>
        <w:p>
          <w:pPr>
            <w:pStyle w:val="Zawartotabeli"/>
            <w:widowControl w:val="false"/>
            <w:suppressLineNumbers/>
            <w:suppressAutoHyphens w:val="true"/>
            <w:bidi w:val="0"/>
            <w:spacing w:before="0" w:after="0"/>
            <w:ind w:left="113" w:right="0" w:hanging="0"/>
            <w:jc w:val="lef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NIP: 9512525710, REGON: 389858218</w:t>
            <w:br/>
            <w:t>KRS: 0000906024 - Sąd Rej. dla m.st W-wy, XIII Wydz. Gosp.</w:t>
            <w:br/>
            <w:t>Kapitał zakładowy: 20 000 zł w pełni opłacony.</w:t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0"/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5" w:hanging="705"/>
      </w:pPr>
      <w:rPr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rFonts w:eastAsia="" w:cs="Times New Roman"/>
        <w:color w:val="auto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0"/>
        <w:b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false"/>
        <w:rFonts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621"/>
        </w:tabs>
        <w:ind w:left="621" w:hanging="480"/>
      </w:p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</w:lvl>
  </w:abstractNum>
  <w:abstractNum w:abstractNumId="14"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>
    <w:lvl w:ilvl="0">
      <w:start w:val="2"/>
      <w:numFmt w:val="decimal"/>
      <w:lvlText w:val="%1."/>
      <w:lvlJc w:val="left"/>
      <w:pPr>
        <w:tabs>
          <w:tab w:val="num" w:pos="0"/>
        </w:tabs>
        <w:ind w:left="1785" w:hanging="705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  <w:rPr>
        <w:sz w:val="20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rFonts w:eastAsia="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>
    <w:lvl w:ilvl="0">
      <w:start w:val="3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5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4d9b"/>
    <w:pPr>
      <w:widowControl/>
      <w:suppressAutoHyphens w:val="true"/>
      <w:bidi w:val="0"/>
      <w:spacing w:before="0" w:after="0"/>
      <w:jc w:val="left"/>
    </w:pPr>
    <w:rPr>
      <w:rFonts w:ascii="Tms Rmn" w:hAnsi="Tms Rm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6">
    <w:name w:val="Heading 6"/>
    <w:basedOn w:val="Normal"/>
    <w:next w:val="Normal"/>
    <w:qFormat/>
    <w:rsid w:val="00da4d9b"/>
    <w:pPr>
      <w:keepNext w:val="true"/>
      <w:ind w:left="1134" w:hanging="0"/>
      <w:outlineLvl w:val="5"/>
    </w:pPr>
    <w:rPr>
      <w:rFonts w:ascii="Times New Roman" w:hAnsi="Times New Roman"/>
      <w:i/>
      <w:sz w:val="24"/>
    </w:rPr>
  </w:style>
  <w:style w:type="paragraph" w:styleId="Nagwek7">
    <w:name w:val="Heading 7"/>
    <w:basedOn w:val="Normal"/>
    <w:next w:val="Normal"/>
    <w:qFormat/>
    <w:rsid w:val="00da4d9b"/>
    <w:pPr>
      <w:keepNext w:val="true"/>
      <w:outlineLvl w:val="6"/>
    </w:pPr>
    <w:rPr>
      <w:rFonts w:ascii="Times New Roman" w:hAnsi="Times New Roman"/>
      <w:b/>
      <w:i/>
      <w:i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721d64"/>
    <w:rPr>
      <w:color w:val="808080"/>
    </w:rPr>
  </w:style>
  <w:style w:type="character" w:styleId="TekstdymkaZnak" w:customStyle="1">
    <w:name w:val="Tekst dymka Znak"/>
    <w:basedOn w:val="DefaultParagraphFont"/>
    <w:qFormat/>
    <w:rsid w:val="00721d64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unhideWhenUsed/>
    <w:qFormat/>
    <w:rsid w:val="00f3236d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qFormat/>
    <w:rsid w:val="00f3236d"/>
    <w:rPr>
      <w:rFonts w:ascii="Cambria" w:hAnsi="Cambria" w:eastAsia="Calibri" w:cs="" w:cstheme="minorBidi" w:eastAsiaTheme="minorHAnsi"/>
      <w:lang w:eastAsia="en-US"/>
    </w:rPr>
  </w:style>
  <w:style w:type="character" w:styleId="Czeinternetowe">
    <w:name w:val="Łącze internetowe"/>
    <w:basedOn w:val="DefaultParagraphFont"/>
    <w:uiPriority w:val="99"/>
    <w:unhideWhenUsed/>
    <w:rsid w:val="006e2790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c55a2"/>
    <w:rPr>
      <w:rFonts w:ascii="Tms Rmn" w:hAnsi="Tms Rmn"/>
    </w:rPr>
  </w:style>
  <w:style w:type="character" w:styleId="StopkaZnak" w:customStyle="1">
    <w:name w:val="Stopka Znak"/>
    <w:basedOn w:val="DefaultParagraphFont"/>
    <w:uiPriority w:val="99"/>
    <w:qFormat/>
    <w:rsid w:val="008c55a2"/>
    <w:rPr>
      <w:rFonts w:ascii="Tms Rmn" w:hAnsi="Tms Rmn"/>
    </w:rPr>
  </w:style>
  <w:style w:type="character" w:styleId="TematkomentarzaZnak" w:customStyle="1">
    <w:name w:val="Temat komentarza Znak"/>
    <w:basedOn w:val="TekstkomentarzaZnak"/>
    <w:qFormat/>
    <w:rsid w:val="006e2790"/>
    <w:rPr>
      <w:rFonts w:ascii="Tms Rmn" w:hAnsi="Tms Rmn" w:eastAsia="Calibri" w:cs="" w:cstheme="minorBidi"/>
      <w:b/>
      <w:bCs/>
      <w:lang w:eastAsia="en-US"/>
    </w:rPr>
  </w:style>
  <w:style w:type="character" w:styleId="TekstprzypisukocowegoZnak" w:customStyle="1">
    <w:name w:val="Tekst przypisu końcowego Znak"/>
    <w:basedOn w:val="DefaultParagraphFont"/>
    <w:semiHidden/>
    <w:qFormat/>
    <w:rsid w:val="00915a27"/>
    <w:rPr>
      <w:rFonts w:ascii="Tms Rmn" w:hAnsi="Tms Rmn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915a27"/>
    <w:rPr>
      <w:vertAlign w:val="superscript"/>
    </w:rPr>
  </w:style>
  <w:style w:type="character" w:styleId="AkapitzlistZnak" w:customStyle="1">
    <w:name w:val="Akapit z listą Znak"/>
    <w:uiPriority w:val="34"/>
    <w:qFormat/>
    <w:locked/>
    <w:rsid w:val="00874b8a"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BodyText3">
    <w:name w:val="Body Text 3"/>
    <w:basedOn w:val="Normal"/>
    <w:qFormat/>
    <w:rsid w:val="00da4d9b"/>
    <w:pPr/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rsid w:val="00da4d9b"/>
    <w:pPr>
      <w:ind w:left="576" w:hanging="432"/>
      <w:jc w:val="both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qFormat/>
    <w:rsid w:val="00da4d9b"/>
    <w:pPr>
      <w:ind w:hanging="4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TekstdymkaZnak"/>
    <w:qFormat/>
    <w:rsid w:val="00721d6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e3e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f3236d"/>
    <w:pPr>
      <w:jc w:val="both"/>
    </w:pPr>
    <w:rPr>
      <w:rFonts w:ascii="Cambria" w:hAnsi="Cambria" w:eastAsia="Calibri" w:cs="" w:cstheme="minorBidi" w:eastAsiaTheme="minorHAnsi"/>
      <w:lang w:eastAsia="en-US"/>
    </w:rPr>
  </w:style>
  <w:style w:type="paragraph" w:styleId="Default" w:customStyle="1">
    <w:name w:val="Default"/>
    <w:qFormat/>
    <w:rsid w:val="001a558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pl-PL" w:eastAsia="pl-PL" w:bidi="ar-SA"/>
    </w:rPr>
  </w:style>
  <w:style w:type="paragraph" w:styleId="CM3" w:customStyle="1">
    <w:name w:val="CM3"/>
    <w:basedOn w:val="Default"/>
    <w:next w:val="Default"/>
    <w:uiPriority w:val="99"/>
    <w:qFormat/>
    <w:rsid w:val="001a5585"/>
    <w:pPr>
      <w:spacing w:lineRule="atLeast" w:line="266"/>
    </w:pPr>
    <w:rPr>
      <w:color w:val="auto"/>
    </w:rPr>
  </w:style>
  <w:style w:type="paragraph" w:styleId="CM4" w:customStyle="1">
    <w:name w:val="CM4"/>
    <w:basedOn w:val="Default"/>
    <w:next w:val="Default"/>
    <w:uiPriority w:val="99"/>
    <w:qFormat/>
    <w:rsid w:val="001a5585"/>
    <w:pPr>
      <w:spacing w:lineRule="atLeast" w:line="271"/>
    </w:pPr>
    <w:rPr>
      <w:color w:val="auto"/>
    </w:rPr>
  </w:style>
  <w:style w:type="paragraph" w:styleId="CM5" w:customStyle="1">
    <w:name w:val="CM5"/>
    <w:basedOn w:val="Default"/>
    <w:next w:val="Default"/>
    <w:uiPriority w:val="99"/>
    <w:qFormat/>
    <w:rsid w:val="001a5585"/>
    <w:pPr>
      <w:spacing w:lineRule="atLeast" w:line="263"/>
    </w:pPr>
    <w:rPr>
      <w:color w:val="auto"/>
    </w:rPr>
  </w:style>
  <w:style w:type="paragraph" w:styleId="CM1" w:customStyle="1">
    <w:name w:val="CM1"/>
    <w:basedOn w:val="Default"/>
    <w:next w:val="Default"/>
    <w:uiPriority w:val="99"/>
    <w:qFormat/>
    <w:rsid w:val="001a5585"/>
    <w:pPr>
      <w:spacing w:lineRule="atLeast" w:line="266"/>
    </w:pPr>
    <w:rPr>
      <w:color w:val="auto"/>
    </w:rPr>
  </w:style>
  <w:style w:type="paragraph" w:styleId="CM2" w:customStyle="1">
    <w:name w:val="CM2"/>
    <w:basedOn w:val="Default"/>
    <w:next w:val="Default"/>
    <w:uiPriority w:val="99"/>
    <w:qFormat/>
    <w:rsid w:val="001a5585"/>
    <w:pPr>
      <w:spacing w:lineRule="atLeast" w:line="266"/>
    </w:pPr>
    <w:rPr>
      <w:color w:val="auto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8c55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8c55a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subject">
    <w:name w:val="annotation subject"/>
    <w:basedOn w:val="Annotationtext"/>
    <w:next w:val="Annotationtext"/>
    <w:link w:val="TematkomentarzaZnak"/>
    <w:unhideWhenUsed/>
    <w:qFormat/>
    <w:rsid w:val="006e2790"/>
    <w:pPr>
      <w:jc w:val="left"/>
    </w:pPr>
    <w:rPr>
      <w:rFonts w:ascii="Tms Rmn" w:hAnsi="Tms Rmn" w:eastAsia="Calibri" w:cs="Times New Roman"/>
      <w:b/>
      <w:bCs/>
    </w:rPr>
  </w:style>
  <w:style w:type="paragraph" w:styleId="Revision">
    <w:name w:val="Revision"/>
    <w:uiPriority w:val="99"/>
    <w:semiHidden/>
    <w:qFormat/>
    <w:rsid w:val="006e2790"/>
    <w:pPr>
      <w:widowControl/>
      <w:suppressAutoHyphens w:val="true"/>
      <w:bidi w:val="0"/>
      <w:spacing w:before="0" w:after="0"/>
      <w:jc w:val="left"/>
    </w:pPr>
    <w:rPr>
      <w:rFonts w:ascii="Tms Rmn" w:hAnsi="Tms Rm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Standard" w:customStyle="1">
    <w:name w:val="Standard"/>
    <w:qFormat/>
    <w:rsid w:val="001736c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Przypiskocowy">
    <w:name w:val="Endnote Text"/>
    <w:basedOn w:val="Normal"/>
    <w:link w:val="TekstprzypisukocowegoZnak"/>
    <w:semiHidden/>
    <w:unhideWhenUsed/>
    <w:rsid w:val="00915a27"/>
    <w:pPr/>
    <w:rPr/>
  </w:style>
  <w:style w:type="paragraph" w:styleId="Stylopis" w:customStyle="1">
    <w:name w:val="Styl opis"/>
    <w:basedOn w:val="Normal"/>
    <w:qFormat/>
    <w:rsid w:val="009f7b8d"/>
    <w:pPr>
      <w:spacing w:lineRule="auto" w:line="360" w:before="120" w:after="0"/>
      <w:ind w:firstLine="567"/>
      <w:jc w:val="both"/>
    </w:pPr>
    <w:rPr>
      <w:rFonts w:ascii="Times New Roman" w:hAnsi="Times New Roman"/>
      <w:sz w:val="24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ti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LibreOffice/7.2.2.2$Windows_X86_64 LibreOffice_project/02b2acce88a210515b4a5bb2e46cbfb63fe97d56</Application>
  <AppVersion>15.0000</AppVersion>
  <Pages>8</Pages>
  <Words>2607</Words>
  <Characters>17119</Characters>
  <CharactersWithSpaces>19558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2021-08-25T11:18:00Z</dcterms:created>
  <dc:creator>Jowita Sobczak</dc:creator>
  <dc:description/>
  <dc:language>pl-PL</dc:language>
  <cp:lastModifiedBy/>
  <cp:lastPrinted>2020-06-22T06:14:00Z</cp:lastPrinted>
  <dcterms:modified xsi:type="dcterms:W3CDTF">2022-06-08T16:46:00Z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0x010100F5220BC40F4B6E4C8AAE42CB90F4C474</vt:lpwstr>
  </property>
</Properties>
</file>